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0" w:after="0"/>
        <w:jc w:val="right"/>
        <w:rPr>
          <w:rFonts w:ascii="Times New Roman" w:hAnsi="Times New Roman" w:cs="Times New Roman"/>
          <w:sz w:val="28"/>
          <w:szCs w:val="28"/>
        </w:rPr>
      </w:pPr>
      <w:r>
        <w:rPr>
          <w:rFonts w:cs="Times New Roman" w:ascii="Times New Roman" w:hAnsi="Times New Roman"/>
          <w:sz w:val="28"/>
          <w:szCs w:val="28"/>
        </w:rPr>
        <w:t>Приложение 5</w:t>
      </w:r>
    </w:p>
    <w:p>
      <w:pPr>
        <w:pStyle w:val="Normal"/>
        <w:spacing w:before="0" w:after="0"/>
        <w:jc w:val="right"/>
        <w:rPr>
          <w:rFonts w:ascii="Times New Roman" w:hAnsi="Times New Roman" w:cs="Times New Roman"/>
          <w:sz w:val="28"/>
          <w:szCs w:val="28"/>
        </w:rPr>
      </w:pPr>
      <w:r>
        <w:rPr>
          <w:rFonts w:cs="Times New Roman" w:ascii="Times New Roman" w:hAnsi="Times New Roman"/>
          <w:sz w:val="28"/>
          <w:szCs w:val="28"/>
        </w:rPr>
        <w:t>к государственной программе "Создание новых</w:t>
      </w:r>
    </w:p>
    <w:p>
      <w:pPr>
        <w:pStyle w:val="Normal"/>
        <w:spacing w:before="0" w:after="0"/>
        <w:jc w:val="right"/>
        <w:rPr>
          <w:rFonts w:ascii="Times New Roman" w:hAnsi="Times New Roman" w:cs="Times New Roman"/>
          <w:sz w:val="28"/>
          <w:szCs w:val="28"/>
        </w:rPr>
      </w:pPr>
      <w:r>
        <w:rPr>
          <w:rFonts w:cs="Times New Roman" w:ascii="Times New Roman" w:hAnsi="Times New Roman"/>
          <w:sz w:val="28"/>
          <w:szCs w:val="28"/>
        </w:rPr>
        <w:t>мест в общеобразовательных организациях</w:t>
      </w:r>
    </w:p>
    <w:p>
      <w:pPr>
        <w:pStyle w:val="Normal"/>
        <w:spacing w:before="0" w:after="0"/>
        <w:jc w:val="right"/>
        <w:rPr>
          <w:rFonts w:ascii="Times New Roman" w:hAnsi="Times New Roman" w:cs="Times New Roman"/>
          <w:sz w:val="28"/>
          <w:szCs w:val="28"/>
        </w:rPr>
      </w:pPr>
      <w:r>
        <w:rPr>
          <w:rFonts w:cs="Times New Roman" w:ascii="Times New Roman" w:hAnsi="Times New Roman"/>
          <w:sz w:val="28"/>
          <w:szCs w:val="28"/>
        </w:rPr>
        <w:t>Брянской области в соответствии</w:t>
      </w:r>
    </w:p>
    <w:p>
      <w:pPr>
        <w:pStyle w:val="Normal"/>
        <w:spacing w:before="0" w:after="0"/>
        <w:jc w:val="right"/>
        <w:rPr>
          <w:rFonts w:ascii="Times New Roman" w:hAnsi="Times New Roman" w:cs="Times New Roman"/>
          <w:sz w:val="28"/>
          <w:szCs w:val="28"/>
        </w:rPr>
      </w:pPr>
      <w:r>
        <w:rPr>
          <w:rFonts w:cs="Times New Roman" w:ascii="Times New Roman" w:hAnsi="Times New Roman"/>
          <w:sz w:val="28"/>
          <w:szCs w:val="28"/>
        </w:rPr>
        <w:t>с прогнозируемой потребностью</w:t>
      </w:r>
    </w:p>
    <w:p>
      <w:pPr>
        <w:pStyle w:val="Normal"/>
        <w:spacing w:before="0" w:after="0"/>
        <w:jc w:val="right"/>
        <w:rPr>
          <w:rFonts w:ascii="Times New Roman" w:hAnsi="Times New Roman" w:cs="Times New Roman"/>
          <w:sz w:val="28"/>
          <w:szCs w:val="28"/>
        </w:rPr>
      </w:pPr>
      <w:r>
        <w:rPr>
          <w:rFonts w:cs="Times New Roman" w:ascii="Times New Roman" w:hAnsi="Times New Roman"/>
          <w:sz w:val="28"/>
          <w:szCs w:val="28"/>
        </w:rPr>
        <w:t>и современными условиями обучения"</w:t>
      </w:r>
    </w:p>
    <w:p>
      <w:pPr>
        <w:pStyle w:val="Normal"/>
        <w:spacing w:before="0" w:after="0"/>
        <w:jc w:val="center"/>
        <w:rPr>
          <w:rFonts w:ascii="Times New Roman" w:hAnsi="Times New Roman" w:cs="Times New Roman"/>
          <w:b/>
          <w:b/>
          <w:sz w:val="28"/>
          <w:szCs w:val="28"/>
        </w:rPr>
      </w:pPr>
      <w:r>
        <w:rPr>
          <w:rFonts w:cs="Times New Roman" w:ascii="Times New Roman" w:hAnsi="Times New Roman"/>
          <w:b/>
          <w:sz w:val="28"/>
          <w:szCs w:val="28"/>
        </w:rPr>
      </w:r>
    </w:p>
    <w:p>
      <w:pPr>
        <w:pStyle w:val="Normal"/>
        <w:spacing w:before="0" w:after="0"/>
        <w:rPr>
          <w:rFonts w:ascii="Times New Roman" w:hAnsi="Times New Roman" w:cs="Times New Roman"/>
          <w:b/>
          <w:b/>
          <w:sz w:val="28"/>
          <w:szCs w:val="28"/>
        </w:rPr>
      </w:pPr>
      <w:r>
        <w:rPr>
          <w:rFonts w:cs="Times New Roman" w:ascii="Times New Roman" w:hAnsi="Times New Roman"/>
          <w:b/>
          <w:sz w:val="28"/>
          <w:szCs w:val="28"/>
        </w:rPr>
      </w:r>
    </w:p>
    <w:p>
      <w:pPr>
        <w:pStyle w:val="Normal"/>
        <w:spacing w:before="0" w:after="0"/>
        <w:jc w:val="center"/>
        <w:rPr>
          <w:rFonts w:ascii="Times New Roman" w:hAnsi="Times New Roman" w:cs="Times New Roman"/>
          <w:b/>
          <w:b/>
          <w:sz w:val="28"/>
          <w:szCs w:val="28"/>
        </w:rPr>
      </w:pPr>
      <w:r>
        <w:rPr>
          <w:rFonts w:cs="Times New Roman" w:ascii="Times New Roman" w:hAnsi="Times New Roman"/>
          <w:b/>
          <w:sz w:val="28"/>
          <w:szCs w:val="28"/>
        </w:rPr>
        <w:t>Порядок</w:t>
      </w:r>
    </w:p>
    <w:p>
      <w:pPr>
        <w:pStyle w:val="Normal"/>
        <w:spacing w:before="0" w:after="0"/>
        <w:jc w:val="center"/>
        <w:rPr>
          <w:rFonts w:ascii="Times New Roman" w:hAnsi="Times New Roman" w:cs="Times New Roman"/>
          <w:b/>
          <w:b/>
          <w:sz w:val="28"/>
          <w:szCs w:val="28"/>
        </w:rPr>
      </w:pPr>
      <w:r>
        <w:rPr>
          <w:rFonts w:cs="Times New Roman" w:ascii="Times New Roman" w:hAnsi="Times New Roman"/>
          <w:b/>
          <w:sz w:val="28"/>
          <w:szCs w:val="28"/>
        </w:rPr>
        <w:t>предоставления субсидий бюджетам муниципальных районов (муниципальных округов, городских округов)</w:t>
      </w:r>
    </w:p>
    <w:p>
      <w:pPr>
        <w:pStyle w:val="Normal"/>
        <w:spacing w:before="0" w:after="0"/>
        <w:jc w:val="center"/>
        <w:rPr>
          <w:rFonts w:ascii="Times New Roman" w:hAnsi="Times New Roman" w:cs="Times New Roman"/>
          <w:b/>
          <w:b/>
          <w:sz w:val="28"/>
          <w:szCs w:val="28"/>
        </w:rPr>
      </w:pPr>
      <w:r>
        <w:rPr>
          <w:rFonts w:cs="Times New Roman" w:ascii="Times New Roman" w:hAnsi="Times New Roman"/>
          <w:b/>
          <w:sz w:val="28"/>
          <w:szCs w:val="28"/>
        </w:rPr>
        <w:t>на софинансирование объектов капитальных вложений на создание новых мест в общеобразовательных организациях в рамках регионального проекта «Современная школа (Брянская область)» государственной программы «Создание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w:t>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t>1. Настоящий Порядок устанавливает цели и условия предоставления субсидий бюджетам муниципальных районов (муниципальных округов, городских округов) (далее – муниципальных образований) на софинансирование объектов капитальных вложений на создание новых мест в общеобразовательных организациях в рамках государственной программы "Создание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 (далее - субсидии), в том числе регионального проекта "Современная школа (Брянская область)", критерии отбора муниципальных образований для предоставления субсидий, порядок отчетности об использовании субсидий, а также критерии оценки эффективности использования муниципальными образованиями предоставляемых субсидий.</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t>2. Субсидии предоставляются бюджетам муниципальных образований Брянской области в рамках реализации государственной программы "Создание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 на следующие цели:</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t>строительство объектов общего образования;</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t>реконструкция объектов общего образования.</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t>3. Условием предоставления субсидии бюджетам муниципальных образований на цели, предусмотренные пунктом 2 настоящего Порядка, является наличие ассигнований в бюджетах муниципальных образований в объеме не менее 1% объема расходного обязательства муниципального образования.</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t>4. Уровень софинансирования расходных обязательств муниципальных образований, указанных в пункте 2 настоящего Порядка, за счет субсидий из областного бюджета не может превышать 99% объема расходного обязательства муниципального образования.</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t>5. Главным распорядителем средств областного бюджета по вышеуказанным расходам является департамент строительства Брянской области.</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t>6. Отбор муниципальных образований Брянской области осуществляет департамент строительства Брянской области.</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t>7. Критериями отбора муниципальных образований для предоставления субсидий являются:</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t>обеспеченность муниципального образования объектами общего образования;</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t>наличие утвержденной в установленном порядке проектно-сметной документации, соответствующей нормативным требованиям, прошедшей государственную экспертизу в случаях, установленных законодательством, и имеющей положительное заключение государственной экспертизы, либо обязательство органа местного самоуправления, предусматривающее обеспечение разработки и проведения государственной экспертизы проектной документации в срок до 60 календарных дней после утверждения региональной адресной инвестиционной программы на соответствующий финансовый год;</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t>наличие объектов незавершенного строительства;</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t>8. Главный распорядитель бюджетных средств с учетом критериев, перечисленных в пункте 7 настоящего Порядка, определяет перечень муниципальных образований для предоставления субсидий на цели, указанные в пункте 2 настоящего Порядка.</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t>9. Распределение субсидий между бюджетами муниципальных образований утверждается законом Брянской области об областном бюджете на соответствующий финансовый год и плановый период. Внесение изменений осуществляется в соответствии с Законом Брянской области "О межбюджетных отношениях в Брянской области". Перечень объектов капитальных вложений утверждается нормативными правовыми актами Брянской области.</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t>10. Субсидии предоставляются на основании Соглашения о предоставлении субсидии, заключаемого между главным распорядителем бюджетных средств и администрациями муниципальных образований Брянской области.</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t>11. Главный распорядитель бюджетных средств перечисляет субсидию из областного бюджета в бюджет муниципального образования в установленном порядке на счета, открытые территориальным органом федерального казначейства в учреждениях Центрального банка Российской Федерации для учета операции со средствами бюджетов муниципальных образований.</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t>12. Администрации муниципальных образований осуществляют закупку работ на реализацию целей, предусмотренных пунктом 2 настоящего Порядка,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t>13. Администрации муниципальных образований обеспечивают предоставление отчетов согласно срокам и формам, предусмотренным Соглашением о предоставлении субсидии бюджету муниципального образования.</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t>13.1. Показателем результативности использования субсидии является количество мест или площадь (м</w:t>
      </w:r>
      <w:r>
        <w:rPr>
          <w:rFonts w:cs="Times New Roman" w:ascii="Times New Roman" w:hAnsi="Times New Roman"/>
          <w:sz w:val="28"/>
          <w:szCs w:val="28"/>
          <w:vertAlign w:val="superscript"/>
        </w:rPr>
        <w:t>2</w:t>
      </w:r>
      <w:r>
        <w:rPr>
          <w:rFonts w:cs="Times New Roman" w:ascii="Times New Roman" w:hAnsi="Times New Roman"/>
          <w:sz w:val="28"/>
          <w:szCs w:val="28"/>
        </w:rPr>
        <w:t>) введенных в эксплуатацию объектов общих образовательных учреждений, процент строительной готовности объекта.</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t>13.2. Оценка эффективности использования муниципальными образованиями субсидии осуществляется департаментом строительства Брянской области исходя из достижения муниципальными образованиями значения результата использования субсидии. Критерием оценки эффективности использования субсидий является достижение значения результата, установленного Соглашением о предоставлении субсидии муниципальному образованию на софинансирование объектов капитального строительства муниципальной собственности на текущий финансовый год и на плановый период.</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t>14. В случае если муниципальным образованием по состоянию на 31 декабря соответствующего финансового года при предоставлении субсидии допущены нарушения обязательств, предусмотренных Соглашением в соответствии с подпунктами 13.1 и 13.2 пункта 13 настоящего Порядка, и в срок до первой даты представления отчетности о достижении значений результата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муниципального образования в областной бюджет в срок до 1 июня года, следующего за годом предоставления субсидии (У возврата), рассчитывается по формуле:</w:t>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jc w:val="center"/>
        <w:rPr>
          <w:rFonts w:ascii="Times New Roman" w:hAnsi="Times New Roman" w:cs="Times New Roman"/>
          <w:sz w:val="28"/>
          <w:szCs w:val="28"/>
        </w:rPr>
      </w:pPr>
      <w:r>
        <w:rPr>
          <w:rFonts w:cs="Times New Roman" w:ascii="Times New Roman" w:hAnsi="Times New Roman"/>
          <w:sz w:val="28"/>
          <w:szCs w:val="28"/>
        </w:rPr>
        <w:t>Vвозврата = (Vсубсидии x k x m / n) * 0,1, где:</w:t>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t>Vсубсидии - размер субсидии, предоставленной бюджету муниципального образования в отчетном финансовом году;</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t>m - количество показателей результата использования субсидии, по которым индекс, отражающий уровень недостижения i-го показателя результативности использования субсидии, имеет положительное значение;</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t>n - общее количество показателей результата использования субсидии;</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t>k - коэффициент возврата субсидии.</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t>При расчете объема средств, подлежащих возврату из бюджета муниципального образования в областной бюджет, в размере субсидии, предоставленной бюджету муниципального образования в отчетном финансовом году (Vсубсидии), не учитывается размер остатка субсидии, не использованного по состоянию на 1 января текущего финансового года, потребность в котором не подтверждена главным администратором доходов областного бюджета, осуществляющим администрирование доходов областного бюджета от возврата остатков субсидий.</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t>Коэффициент возврата субсидии рассчитывается по формуле:</w:t>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jc w:val="center"/>
        <w:rPr>
          <w:rFonts w:ascii="Times New Roman" w:hAnsi="Times New Roman" w:cs="Times New Roman"/>
          <w:sz w:val="28"/>
          <w:szCs w:val="28"/>
          <w:lang w:val="en-US"/>
        </w:rPr>
      </w:pPr>
      <w:r>
        <w:rPr>
          <w:rFonts w:cs="Times New Roman" w:ascii="Times New Roman" w:hAnsi="Times New Roman"/>
          <w:sz w:val="28"/>
          <w:szCs w:val="28"/>
          <w:lang w:val="en-US"/>
        </w:rPr>
        <w:t xml:space="preserve">k = SUM Di / m, </w:t>
      </w:r>
      <w:r>
        <w:rPr>
          <w:rFonts w:cs="Times New Roman" w:ascii="Times New Roman" w:hAnsi="Times New Roman"/>
          <w:sz w:val="28"/>
          <w:szCs w:val="28"/>
        </w:rPr>
        <w:t>где</w:t>
      </w:r>
      <w:r>
        <w:rPr>
          <w:rFonts w:cs="Times New Roman" w:ascii="Times New Roman" w:hAnsi="Times New Roman"/>
          <w:sz w:val="28"/>
          <w:szCs w:val="28"/>
          <w:lang w:val="en-US"/>
        </w:rPr>
        <w:t>:</w:t>
      </w:r>
    </w:p>
    <w:p>
      <w:pPr>
        <w:pStyle w:val="Normal"/>
        <w:jc w:val="both"/>
        <w:rPr>
          <w:rFonts w:ascii="Times New Roman" w:hAnsi="Times New Roman" w:cs="Times New Roman"/>
          <w:sz w:val="28"/>
          <w:szCs w:val="28"/>
          <w:lang w:val="en-US"/>
        </w:rPr>
      </w:pPr>
      <w:r>
        <w:rPr>
          <w:rFonts w:cs="Times New Roman" w:ascii="Times New Roman" w:hAnsi="Times New Roman"/>
          <w:sz w:val="28"/>
          <w:szCs w:val="28"/>
          <w:lang w:val="en-US"/>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t>Di - индекс, отражающий уровень недостижения i-го показателя результата использования субсидии.</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t>При расчете коэффициента возврата субсидии используются только положительные значения индекса, отражающего уровень недостижения i-го показателя результата использования субсидии.</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t>Индекс, отражающий уровень недостижения i-го показателя результата использования субсидии, определяется по формуле:</w:t>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jc w:val="center"/>
        <w:rPr>
          <w:rFonts w:ascii="Times New Roman" w:hAnsi="Times New Roman" w:cs="Times New Roman"/>
          <w:sz w:val="28"/>
          <w:szCs w:val="28"/>
        </w:rPr>
      </w:pPr>
      <w:r>
        <w:rPr>
          <w:rFonts w:cs="Times New Roman" w:ascii="Times New Roman" w:hAnsi="Times New Roman"/>
          <w:sz w:val="28"/>
          <w:szCs w:val="28"/>
        </w:rPr>
        <w:t>Di = 1 - Ti / Si, где:</w:t>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t>Ti - фактически достигнутое значение i-го показателя результата использования субсидии на отчетную дату;</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t>Si - плановое значение i-го показателя результата использования субсидии, установленное соглашением.</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t>15. В случае если муниципальным образованием по состоянию на 31 декабря соответствующего финансового года при предоставлении субсидии допущены нарушения обязательств, предусмотренных графиком выполнения мероприятий по капитальному строительству объектов, указанных в пункте 2 настоящего Порядка, и в срок до 1 апреля года, следующего за годом предоставления субсидии, указанные нарушения не устранены, объем средств, соответствующий 10 процентам объема средств, предусмотренного на год, в котором допущены нарушения указанных обязательств, без учета размера остатка субсидии, не использованного по состоянию на 1 января текущего финансового года, потребность в котором не подтверждена главным администратором бюджетных средств, подлежит возврату из местного бюджета в доход областного бюджета в срок до 1 июня года, следующего за годом предоставления субсидии, если администрацией муниципального образования, допустившего нарушение соответствующих обязательств, не позднее 15 апреля года, следующего за годом предоставления субсидии, не представлены документы, предусмотренные пунктом 16 настоящего Порядка.</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t>В случае одновременного нарушения муниципальным образованием обязательств, предусмотренных Соглашением в соответствии с подпунктами 13.1 и 13.2 пункта 13 настоящего Порядка и графиком выполнения мероприятий по капитальному строительству объектов, возврату подлежит объем средств, соответствующий размеру субсидии на софинансирование капитальных вложений в объекты муниципальной собственности, определенный в соответствии с абзацем первым настоящего пункта.</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t>16. Основанием для освобождения муниципальных образований от применения мер ответственности, предусмотренных пунктами 14, 15 настоящего Порядка, является документально подтвержденное наступление обстоятельств непреодолимой силы, препятствующих исполнению соответствующих обязательств.</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t>В случае отсутствия оснований для освобождения муниципальных образований Брянской области от применения мер ответственности, предусмотренных пунктами 14, 15 настоящего Порядка, департамент строительства Брянской области не позднее 20 апреля года, следующего за годом предоставления субсидии, представляет в департамент финансов Брянской области предложения о перераспределении средств, подлежащих возврату в доход областного бюджета в соответствии с пунктами 14, 15 настоящего Порядка, на иные цели.</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t>17. Главный распорядитель указанных субсидий вправе вносить предложения о перераспределении субсидий между муниципальными образованиями.</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t>Органы местного самоуправления предоставляют главному распорядителю бюджетных средств документы, подтверждающие проводимые расходы в соответствии с заключенным Соглашением о предоставлении субсидии бюджету муниципального образования.</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t>18. Органы местного самоуправления муниципальных образований обеспечивают целевое и эффективное использование бюджетных средств. Департамент строительства Брянской области осуществляет контроль за целевым использованием бюджетных средств, в том числе через ГКУ "Управление капитального строительства Брянской области".</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t>19. В случае нецелевого использования субсидии и (или) нарушения муниципальным образованием условий ее предоставления, в том числе невозврата муниципальным образованием средств в областной бюджет в соответствии с пунктом 14 и пунктом 15 настоящего Порядка, к нему применяются бюджетные меры принуждения, предусмотренные бюджетным законодательством Российской Федерации.</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t>Решения о приостановлении перечисления (сокращении объема) субсидии бюджету муниципального образования не принимаются в случае, если условия предоставления субсидии были не выполнены в силу обстоятельств непреодолимой силы.</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t>20. Субсидии носят целевой характер. В случае нарушения муниципальным образованием условий предоставления субсидий, использования средств областного бюджета не по целевому назначению соответствующие средства взыскиваются в областной бюджет в установленном законодательством порядке.</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t>21. Не использованные по состоянию на 1 января очередного финансового года остатки средств субсидии подлежат возврату в областной бюджет.</w:t>
      </w:r>
    </w:p>
    <w:p>
      <w:pPr>
        <w:pStyle w:val="Normal"/>
        <w:spacing w:before="0" w:after="0"/>
        <w:jc w:val="center"/>
        <w:rPr>
          <w:rFonts w:ascii="Times New Roman" w:hAnsi="Times New Roman" w:cs="Times New Roman"/>
          <w:b/>
          <w:b/>
          <w:sz w:val="28"/>
          <w:szCs w:val="28"/>
        </w:rPr>
      </w:pPr>
      <w:r>
        <w:rPr>
          <w:rFonts w:cs="Times New Roman" w:ascii="Times New Roman" w:hAnsi="Times New Roman"/>
          <w:b/>
          <w:sz w:val="28"/>
          <w:szCs w:val="28"/>
        </w:rPr>
        <w:t>Методика</w:t>
      </w:r>
    </w:p>
    <w:p>
      <w:pPr>
        <w:pStyle w:val="Normal"/>
        <w:spacing w:before="0" w:after="0"/>
        <w:jc w:val="center"/>
        <w:rPr>
          <w:rFonts w:ascii="Times New Roman" w:hAnsi="Times New Roman" w:cs="Times New Roman"/>
          <w:b/>
          <w:b/>
          <w:sz w:val="28"/>
          <w:szCs w:val="28"/>
        </w:rPr>
      </w:pPr>
      <w:r>
        <w:rPr>
          <w:rFonts w:cs="Times New Roman" w:ascii="Times New Roman" w:hAnsi="Times New Roman"/>
          <w:b/>
          <w:sz w:val="28"/>
          <w:szCs w:val="28"/>
        </w:rPr>
        <w:t>распределения субсидий бюджетам муниципальных районов (муниципальных округов, городских округов)</w:t>
      </w:r>
    </w:p>
    <w:p>
      <w:pPr>
        <w:pStyle w:val="Normal"/>
        <w:spacing w:before="0" w:after="0"/>
        <w:jc w:val="center"/>
        <w:rPr>
          <w:rFonts w:ascii="Times New Roman" w:hAnsi="Times New Roman" w:cs="Times New Roman"/>
          <w:b/>
          <w:b/>
          <w:sz w:val="28"/>
          <w:szCs w:val="28"/>
        </w:rPr>
      </w:pPr>
      <w:r>
        <w:rPr>
          <w:rFonts w:cs="Times New Roman" w:ascii="Times New Roman" w:hAnsi="Times New Roman"/>
          <w:b/>
          <w:sz w:val="28"/>
          <w:szCs w:val="28"/>
        </w:rPr>
        <w:t>на софинансирование объектов капитальных вложений на создание новых мест в общеобразовательных организациях в рамках регионального проекта «Современная школа (Брянская область)» государственной программы «Создание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w:t>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Субсидии предоставляются бюджетам муниципальных районов (муниципальных округов, городских округов) на софинансирование объектов капитальных вложений на создание новых мест в общеобразовательных организациях в рамках регионального проекта «Современная школа (Брянская область)» государственной программы «Создание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Субсидия распределяется между муниципальными образованиями по следующей формуле: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Ci = C x Vi / V, где: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Ci - размер субсидии бюджету i-го муниципального образования на соответствующий финансовый год;</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C - общий объем субсидий, выделяемых бюджетам муниципальных районов (муниципальных округов, городских округов) на софинансирование объектов капитальных вложений на создание новых мест в общеобразовательных организациях в рамках регионального проекта «Современная школа (Брянская область)» государственной программы «Создание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 на соответствующий финансовый год;</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V - общий объем средств, определяемый департаментом строительства Брянской области, согласно представленным муниципальными образованиями заявкам на софинансирование объектов капитальных вложений на создание новых мест в общеобразовательных организациях в рамках регионального проекта «Современная школа (Брянская область)» государственной программы «Создание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 на соответствующий финансовый год;</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spacing w:before="0" w:after="200"/>
        <w:ind w:firstLine="708"/>
        <w:jc w:val="both"/>
        <w:rPr>
          <w:rFonts w:ascii="Times New Roman" w:hAnsi="Times New Roman" w:cs="Times New Roman"/>
          <w:sz w:val="28"/>
          <w:szCs w:val="28"/>
        </w:rPr>
      </w:pPr>
      <w:bookmarkStart w:id="0" w:name="_GoBack"/>
      <w:bookmarkEnd w:id="0"/>
      <w:r>
        <w:rPr>
          <w:rFonts w:cs="Times New Roman" w:ascii="Times New Roman" w:hAnsi="Times New Roman"/>
          <w:sz w:val="28"/>
          <w:szCs w:val="28"/>
        </w:rPr>
        <w:t>Vi - объем средств, необходимый i-му муниципальному образованию на софинансирование объектов капитальных вложений на создание новых мест в общеобразовательных организациях в рамках регионального проекта «Современная школа (Брянская область)» государственной программы «Создание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 на соответствующий финансовый год, согласно представленной заявке.</w:t>
      </w:r>
    </w:p>
    <w:sectPr>
      <w:type w:val="nextPage"/>
      <w:pgSz w:w="11906" w:h="16838"/>
      <w:pgMar w:left="1701" w:right="851" w:header="0" w:top="851" w:footer="0" w:bottom="851"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Liberation Sans">
    <w:altName w:val="Arial"/>
    <w:charset w:val="cc"/>
    <w:family w:val="swiss"/>
    <w:pitch w:val="variable"/>
  </w:font>
  <w:font w:name="Times New Roman">
    <w:charset w:val="cc"/>
    <w:family w:val="roman"/>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paragraph" w:styleId="Style14">
    <w:name w:val="Заголовок"/>
    <w:basedOn w:val="Normal"/>
    <w:next w:val="Style15"/>
    <w:qFormat/>
    <w:pPr>
      <w:keepNext w:val="true"/>
      <w:spacing w:before="240" w:after="120"/>
    </w:pPr>
    <w:rPr>
      <w:rFonts w:ascii="Liberation Sans" w:hAnsi="Liberation Sans" w:eastAsia="Microsoft YaHei" w:cs="Arial Unicode MS"/>
      <w:sz w:val="28"/>
      <w:szCs w:val="28"/>
    </w:rPr>
  </w:style>
  <w:style w:type="paragraph" w:styleId="Style15">
    <w:name w:val="Body Text"/>
    <w:basedOn w:val="Normal"/>
    <w:pPr>
      <w:spacing w:lineRule="auto" w:line="276" w:before="0" w:after="140"/>
    </w:pPr>
    <w:rPr/>
  </w:style>
  <w:style w:type="paragraph" w:styleId="Style16">
    <w:name w:val="List"/>
    <w:basedOn w:val="Style15"/>
    <w:pPr/>
    <w:rPr>
      <w:rFonts w:cs="Arial Unicode MS"/>
    </w:rPr>
  </w:style>
  <w:style w:type="paragraph" w:styleId="Style17">
    <w:name w:val="Caption"/>
    <w:basedOn w:val="Normal"/>
    <w:qFormat/>
    <w:pPr>
      <w:suppressLineNumbers/>
      <w:spacing w:before="120" w:after="120"/>
    </w:pPr>
    <w:rPr>
      <w:rFonts w:cs="Arial Unicode MS"/>
      <w:i/>
      <w:iCs/>
      <w:sz w:val="24"/>
      <w:szCs w:val="24"/>
    </w:rPr>
  </w:style>
  <w:style w:type="paragraph" w:styleId="Style18">
    <w:name w:val="Указатель"/>
    <w:basedOn w:val="Normal"/>
    <w:qFormat/>
    <w:pPr>
      <w:suppressLineNumbers/>
    </w:pPr>
    <w:rPr>
      <w:rFonts w:cs="Arial Unicode MS"/>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Application>LibreOffice/7.0.1.2$Windows_X86_64 LibreOffice_project/7cbcfc562f6eb6708b5ff7d7397325de9e764452</Application>
  <Pages>8</Pages>
  <Words>1674</Words>
  <Characters>13159</Characters>
  <CharactersWithSpaces>14769</CharactersWithSpaces>
  <Paragraphs>65</Paragraphs>
  <Company>Krokoz™ Inc.</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2021-10-14T11:21:00Z</dcterms:created>
  <dc:creator>mtb-ch</dc:creator>
  <dc:description/>
  <dc:language>ru-RU</dc:language>
  <cp:lastModifiedBy>User Windows</cp:lastModifiedBy>
  <dcterms:modified xsi:type="dcterms:W3CDTF">2021-10-22T13:02:00Z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Krokoz™ Inc.</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